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30859F" w14:textId="48AC7A83" w:rsidR="00FA1D64" w:rsidRPr="00EE76A9" w:rsidRDefault="00FA1D64" w:rsidP="00FA1D64">
      <w:pPr>
        <w:pStyle w:val="Header"/>
        <w:tabs>
          <w:tab w:val="right" w:pos="9639"/>
        </w:tabs>
        <w:rPr>
          <w:bCs/>
          <w:i/>
          <w:noProof w:val="0"/>
          <w:sz w:val="32"/>
          <w:lang w:val="en-GB"/>
        </w:rPr>
      </w:pPr>
      <w:r w:rsidRPr="007B7496">
        <w:rPr>
          <w:bCs/>
          <w:noProof w:val="0"/>
          <w:sz w:val="24"/>
          <w:lang w:val="en-GB"/>
        </w:rPr>
        <w:t xml:space="preserve">3GPP TSG-RAN </w:t>
      </w:r>
      <w:r w:rsidRPr="000A4D7C">
        <w:rPr>
          <w:noProof w:val="0"/>
          <w:sz w:val="24"/>
          <w:lang w:val="en-GB"/>
        </w:rPr>
        <w:t>WG</w:t>
      </w:r>
      <w:r>
        <w:rPr>
          <w:noProof w:val="0"/>
          <w:sz w:val="24"/>
          <w:lang w:val="en-GB"/>
        </w:rPr>
        <w:t>1#90</w:t>
      </w:r>
      <w:r w:rsidRPr="007B7496">
        <w:rPr>
          <w:bCs/>
          <w:noProof w:val="0"/>
          <w:sz w:val="24"/>
          <w:lang w:val="en-GB"/>
        </w:rPr>
        <w:tab/>
      </w:r>
      <w:r w:rsidRPr="00026794">
        <w:rPr>
          <w:rFonts w:hint="eastAsia"/>
          <w:bCs/>
          <w:noProof w:val="0"/>
          <w:sz w:val="24"/>
          <w:lang w:val="en-GB" w:eastAsia="ja-JP"/>
        </w:rPr>
        <w:t>R</w:t>
      </w:r>
      <w:r w:rsidRPr="00026794">
        <w:rPr>
          <w:bCs/>
          <w:noProof w:val="0"/>
          <w:sz w:val="24"/>
          <w:lang w:val="en-GB" w:eastAsia="ja-JP"/>
        </w:rPr>
        <w:t>1</w:t>
      </w:r>
      <w:r w:rsidRPr="00026794">
        <w:rPr>
          <w:rFonts w:hint="eastAsia"/>
          <w:bCs/>
          <w:noProof w:val="0"/>
          <w:sz w:val="24"/>
          <w:lang w:val="en-GB" w:eastAsia="ja-JP"/>
        </w:rPr>
        <w:t>-</w:t>
      </w:r>
      <w:r>
        <w:rPr>
          <w:bCs/>
          <w:noProof w:val="0"/>
          <w:sz w:val="24"/>
          <w:lang w:val="en-GB" w:eastAsia="ja-JP"/>
        </w:rPr>
        <w:t>171</w:t>
      </w:r>
      <w:r w:rsidR="00071F82">
        <w:rPr>
          <w:bCs/>
          <w:noProof w:val="0"/>
          <w:sz w:val="24"/>
          <w:lang w:val="en-GB" w:eastAsia="ja-JP"/>
        </w:rPr>
        <w:t>4018</w:t>
      </w:r>
    </w:p>
    <w:p w14:paraId="3C82E4E7" w14:textId="77777777" w:rsidR="00FA1D64" w:rsidRPr="00461210" w:rsidRDefault="00FA1D64" w:rsidP="00FA1D64">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4F7A4707" w14:textId="77777777" w:rsidR="002F1B64" w:rsidRPr="007B7496" w:rsidRDefault="002F1B64" w:rsidP="002F1B64">
      <w:pPr>
        <w:pStyle w:val="Header"/>
        <w:rPr>
          <w:bCs/>
          <w:noProof w:val="0"/>
          <w:sz w:val="24"/>
          <w:lang w:val="en-GB" w:eastAsia="ja-JP"/>
        </w:rPr>
      </w:pPr>
    </w:p>
    <w:p w14:paraId="2103C997" w14:textId="01530F10"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A1D64">
        <w:rPr>
          <w:rFonts w:cs="Arial"/>
          <w:b/>
          <w:bCs/>
          <w:sz w:val="24"/>
        </w:rPr>
        <w:t>6</w:t>
      </w:r>
      <w:r w:rsidR="00FF28DF">
        <w:rPr>
          <w:rFonts w:cs="Arial"/>
          <w:b/>
          <w:bCs/>
          <w:sz w:val="24"/>
        </w:rPr>
        <w:t>.1.3.3.6.2</w:t>
      </w:r>
    </w:p>
    <w:p w14:paraId="29595B81" w14:textId="3AECBC01" w:rsidR="002F1B64" w:rsidRPr="00F174DB" w:rsidRDefault="002F1B64" w:rsidP="002F1B64">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Pr>
          <w:rFonts w:ascii="Arial" w:hAnsi="Arial" w:cs="Arial"/>
          <w:b/>
          <w:bCs/>
          <w:sz w:val="24"/>
        </w:rPr>
        <w:t xml:space="preserve">, </w:t>
      </w:r>
      <w:r w:rsidR="00FA1D64">
        <w:rPr>
          <w:rFonts w:ascii="Arial" w:hAnsi="Arial" w:cs="Arial"/>
          <w:b/>
          <w:bCs/>
          <w:sz w:val="24"/>
        </w:rPr>
        <w:t>Nokia</w:t>
      </w:r>
      <w:r>
        <w:rPr>
          <w:rFonts w:ascii="Arial" w:hAnsi="Arial" w:cs="Arial"/>
          <w:b/>
          <w:bCs/>
          <w:sz w:val="24"/>
        </w:rPr>
        <w:t xml:space="preserve"> Shanghai Bell </w:t>
      </w:r>
    </w:p>
    <w:p w14:paraId="64183FCC" w14:textId="33C37A62" w:rsidR="002F1B64" w:rsidRPr="0016316A" w:rsidRDefault="002F1B64" w:rsidP="002F1B6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DA3B87" w:rsidRPr="00DA3B87">
        <w:rPr>
          <w:rFonts w:ascii="Arial" w:hAnsi="Arial" w:cs="Arial"/>
          <w:b/>
          <w:bCs/>
          <w:sz w:val="24"/>
        </w:rPr>
        <w:t xml:space="preserve">On the </w:t>
      </w:r>
      <w:r w:rsidR="007F375E">
        <w:rPr>
          <w:rFonts w:ascii="Arial" w:hAnsi="Arial" w:cs="Arial"/>
          <w:b/>
          <w:bCs/>
          <w:sz w:val="24"/>
        </w:rPr>
        <w:t>HARQ soft buffer handling</w:t>
      </w:r>
    </w:p>
    <w:p w14:paraId="11547072" w14:textId="77777777" w:rsidR="002F1B64" w:rsidRPr="007B7496" w:rsidRDefault="002F1B64" w:rsidP="002F1B64">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6F6A7823" w14:textId="77777777" w:rsidR="0034111C" w:rsidRPr="0016316A" w:rsidRDefault="0034111C">
      <w:pPr>
        <w:pStyle w:val="Heading1"/>
      </w:pPr>
      <w:r w:rsidRPr="0016316A">
        <w:t>1</w:t>
      </w:r>
      <w:r w:rsidRPr="0016316A">
        <w:tab/>
      </w:r>
      <w:r w:rsidR="00EE7FA7" w:rsidRPr="0016316A">
        <w:t>Introduction</w:t>
      </w:r>
    </w:p>
    <w:p w14:paraId="4309A8FC" w14:textId="00C8937C" w:rsidR="00E27749" w:rsidRDefault="00A142A2" w:rsidP="005A2E77">
      <w:pPr>
        <w:spacing w:after="120"/>
        <w:jc w:val="both"/>
        <w:rPr>
          <w:bCs/>
        </w:rPr>
      </w:pPr>
      <w:r>
        <w:rPr>
          <w:bCs/>
        </w:rPr>
        <w:t>This contribution relates to the</w:t>
      </w:r>
      <w:r w:rsidR="00913AC1">
        <w:rPr>
          <w:bCs/>
        </w:rPr>
        <w:t xml:space="preserve"> </w:t>
      </w:r>
      <w:r w:rsidR="00DA3B87">
        <w:rPr>
          <w:bCs/>
        </w:rPr>
        <w:t>number of HARQ processes and the related soft buffer consideration</w:t>
      </w:r>
      <w:r w:rsidR="00CD464F">
        <w:rPr>
          <w:bCs/>
        </w:rPr>
        <w:t>.</w:t>
      </w:r>
      <w:r w:rsidR="005A2E77">
        <w:rPr>
          <w:bCs/>
        </w:rPr>
        <w:t xml:space="preserve"> </w:t>
      </w:r>
      <w:r w:rsidR="00E27749">
        <w:rPr>
          <w:bCs/>
        </w:rPr>
        <w:t xml:space="preserve">The following agreements </w:t>
      </w:r>
      <w:r w:rsidR="00CD464F">
        <w:rPr>
          <w:bCs/>
        </w:rPr>
        <w:t>have been</w:t>
      </w:r>
      <w:r w:rsidR="00E27749">
        <w:rPr>
          <w:bCs/>
        </w:rPr>
        <w:t xml:space="preserve"> made in</w:t>
      </w:r>
      <w:r w:rsidR="00913AC1">
        <w:rPr>
          <w:bCs/>
        </w:rPr>
        <w:t xml:space="preserve"> </w:t>
      </w:r>
      <w:r w:rsidR="00B32D52">
        <w:rPr>
          <w:bCs/>
        </w:rPr>
        <w:t>the previous RAN1 meetings</w:t>
      </w:r>
      <w:r w:rsidR="00E27749">
        <w:rPr>
          <w:bCs/>
        </w:rPr>
        <w:t>:</w:t>
      </w:r>
    </w:p>
    <w:p w14:paraId="64A49606" w14:textId="77777777" w:rsidR="002F1B64" w:rsidRPr="00B10314" w:rsidRDefault="002F1B64" w:rsidP="002F1B64">
      <w:pPr>
        <w:spacing w:after="0"/>
        <w:rPr>
          <w:rFonts w:eastAsia="MS Mincho"/>
          <w:b/>
          <w:iCs/>
          <w:u w:val="single"/>
          <w:lang w:eastAsia="ja-JP"/>
        </w:rPr>
      </w:pPr>
      <w:r>
        <w:rPr>
          <w:rFonts w:eastAsia="MS Mincho" w:hint="eastAsia"/>
          <w:b/>
          <w:iCs/>
          <w:u w:val="single"/>
          <w:lang w:eastAsia="ja-JP"/>
        </w:rPr>
        <w:t>Conclusion</w:t>
      </w:r>
      <w:r w:rsidRPr="00B10314">
        <w:rPr>
          <w:rFonts w:eastAsia="MS Mincho" w:hint="eastAsia"/>
          <w:b/>
          <w:iCs/>
          <w:u w:val="single"/>
          <w:lang w:eastAsia="ja-JP"/>
        </w:rPr>
        <w:t>:</w:t>
      </w:r>
      <w:r>
        <w:rPr>
          <w:rFonts w:eastAsia="MS Mincho"/>
          <w:b/>
          <w:iCs/>
          <w:u w:val="single"/>
          <w:lang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191C5327" w14:textId="77777777" w:rsidR="002F1B64" w:rsidRPr="00E83232" w:rsidRDefault="002F1B64" w:rsidP="002F1B64">
      <w:pPr>
        <w:numPr>
          <w:ilvl w:val="0"/>
          <w:numId w:val="29"/>
        </w:numPr>
        <w:overflowPunct/>
        <w:autoSpaceDE/>
        <w:autoSpaceDN/>
        <w:adjustRightInd/>
        <w:spacing w:after="0"/>
        <w:textAlignment w:val="auto"/>
        <w:rPr>
          <w:rFonts w:eastAsia="MS Mincho"/>
          <w:iCs/>
          <w:lang w:val="en-US" w:eastAsia="ja-JP"/>
        </w:rPr>
      </w:pPr>
      <w:r w:rsidRPr="00E83232">
        <w:rPr>
          <w:rFonts w:eastAsia="MS Mincho" w:hint="eastAsia"/>
          <w:iCs/>
          <w:lang w:val="en-US" w:eastAsia="ja-JP"/>
        </w:rPr>
        <w:t xml:space="preserve">Consider </w:t>
      </w:r>
      <w:r w:rsidRPr="00E83232">
        <w:rPr>
          <w:rFonts w:eastAsia="MS Mincho"/>
          <w:iCs/>
          <w:lang w:val="en-US" w:eastAsia="ja-JP"/>
        </w:rPr>
        <w:t xml:space="preserve">further </w:t>
      </w:r>
      <w:r w:rsidRPr="00E83232">
        <w:rPr>
          <w:rFonts w:eastAsia="MS Mincho" w:hint="eastAsia"/>
          <w:iCs/>
          <w:lang w:val="en-US" w:eastAsia="ja-JP"/>
        </w:rPr>
        <w:t>following two aspects</w:t>
      </w:r>
      <w:r>
        <w:rPr>
          <w:rFonts w:eastAsia="MS Mincho" w:hint="eastAsia"/>
          <w:iCs/>
          <w:lang w:val="en-US" w:eastAsia="ja-JP"/>
        </w:rPr>
        <w:t xml:space="preserve"> for the number of HARQ processes</w:t>
      </w:r>
      <w:r w:rsidRPr="00E83232">
        <w:rPr>
          <w:rFonts w:eastAsia="MS Mincho" w:hint="eastAsia"/>
          <w:iCs/>
          <w:lang w:val="en-US" w:eastAsia="ja-JP"/>
        </w:rPr>
        <w:t>:</w:t>
      </w:r>
    </w:p>
    <w:p w14:paraId="6EAEB304"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Maximum number of HARQ processes per carrier</w:t>
      </w:r>
    </w:p>
    <w:p w14:paraId="3F1694F8" w14:textId="77777777" w:rsidR="002F1B64" w:rsidRPr="00E83232" w:rsidRDefault="002F1B64" w:rsidP="002F1B64">
      <w:pPr>
        <w:numPr>
          <w:ilvl w:val="1"/>
          <w:numId w:val="29"/>
        </w:numPr>
        <w:overflowPunct/>
        <w:autoSpaceDE/>
        <w:autoSpaceDN/>
        <w:adjustRightInd/>
        <w:spacing w:after="0"/>
        <w:textAlignment w:val="auto"/>
        <w:rPr>
          <w:rFonts w:eastAsia="MS Mincho"/>
          <w:iCs/>
          <w:lang w:val="en-US" w:eastAsia="ja-JP"/>
        </w:rPr>
      </w:pPr>
      <w:r w:rsidRPr="00E83232">
        <w:rPr>
          <w:rFonts w:eastAsia="MS Mincho"/>
          <w:iCs/>
          <w:lang w:val="en-US" w:eastAsia="ja-JP"/>
        </w:rPr>
        <w:t>Soft-buffer size/dimensioning/partitioning</w:t>
      </w:r>
    </w:p>
    <w:p w14:paraId="605DB2F4"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Open questions:</w:t>
      </w:r>
    </w:p>
    <w:p w14:paraId="05A711B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RAN1 specification impacts</w:t>
      </w:r>
      <w:r w:rsidRPr="00AB2169">
        <w:rPr>
          <w:rFonts w:eastAsia="MS Mincho" w:hint="eastAsia"/>
          <w:iCs/>
          <w:highlight w:val="cyan"/>
          <w:lang w:val="en-US" w:eastAsia="ja-JP"/>
        </w:rPr>
        <w:t xml:space="preserve"> the above two aspects will have?</w:t>
      </w:r>
    </w:p>
    <w:p w14:paraId="755F2923"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What factors impacts on each of the aspects, and how much?</w:t>
      </w:r>
    </w:p>
    <w:p w14:paraId="5EBA227E"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For which types of UEs the peak data rate is desirable?</w:t>
      </w:r>
    </w:p>
    <w:p w14:paraId="25CA2281"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What is the relation between these two aspects and flexible scheduling/HARQ-ACK feedback timings?</w:t>
      </w:r>
    </w:p>
    <w:p w14:paraId="569A6376" w14:textId="77777777" w:rsidR="002F1B64" w:rsidRPr="00AB2169" w:rsidRDefault="002F1B64" w:rsidP="002F1B64">
      <w:pPr>
        <w:numPr>
          <w:ilvl w:val="1"/>
          <w:numId w:val="29"/>
        </w:numPr>
        <w:overflowPunct/>
        <w:autoSpaceDE/>
        <w:autoSpaceDN/>
        <w:adjustRightInd/>
        <w:spacing w:after="0"/>
        <w:textAlignment w:val="auto"/>
        <w:rPr>
          <w:rFonts w:eastAsia="MS Mincho"/>
          <w:iCs/>
          <w:highlight w:val="cyan"/>
          <w:lang w:val="en-US" w:eastAsia="ja-JP"/>
        </w:rPr>
      </w:pPr>
      <w:r w:rsidRPr="00AB2169">
        <w:rPr>
          <w:rFonts w:eastAsia="MS Mincho"/>
          <w:iCs/>
          <w:highlight w:val="cyan"/>
          <w:lang w:val="en-US" w:eastAsia="ja-JP"/>
        </w:rPr>
        <w:t>How/whether different between downlink and uplink?</w:t>
      </w:r>
    </w:p>
    <w:p w14:paraId="7BE69356" w14:textId="77777777" w:rsidR="002F1B64" w:rsidRPr="00AB2169" w:rsidRDefault="002F1B64" w:rsidP="002F1B64">
      <w:pPr>
        <w:numPr>
          <w:ilvl w:val="0"/>
          <w:numId w:val="29"/>
        </w:numPr>
        <w:overflowPunct/>
        <w:autoSpaceDE/>
        <w:autoSpaceDN/>
        <w:adjustRightInd/>
        <w:spacing w:after="0"/>
        <w:textAlignment w:val="auto"/>
        <w:rPr>
          <w:rFonts w:eastAsia="MS Mincho"/>
          <w:iCs/>
          <w:highlight w:val="cyan"/>
          <w:lang w:val="en-US" w:eastAsia="ja-JP"/>
        </w:rPr>
      </w:pPr>
      <w:r w:rsidRPr="00AB2169">
        <w:rPr>
          <w:rFonts w:eastAsia="MS Mincho" w:hint="eastAsia"/>
          <w:iCs/>
          <w:highlight w:val="cyan"/>
          <w:lang w:val="en-US" w:eastAsia="ja-JP"/>
        </w:rPr>
        <w:t xml:space="preserve">Email discussion about above question until 20th April </w:t>
      </w:r>
      <w:r w:rsidRPr="00AB2169">
        <w:rPr>
          <w:rFonts w:eastAsia="MS Mincho"/>
          <w:iCs/>
          <w:highlight w:val="cyan"/>
          <w:lang w:val="en-US" w:eastAsia="ja-JP"/>
        </w:rPr>
        <w:t>–</w:t>
      </w:r>
      <w:r w:rsidRPr="00AB2169">
        <w:rPr>
          <w:rFonts w:eastAsia="MS Mincho" w:hint="eastAsia"/>
          <w:iCs/>
          <w:highlight w:val="cyan"/>
          <w:lang w:val="en-US" w:eastAsia="ja-JP"/>
        </w:rPr>
        <w:t xml:space="preserve"> Joseph (Qualcomm)</w:t>
      </w:r>
    </w:p>
    <w:p w14:paraId="36BE3D7E" w14:textId="77777777" w:rsidR="00520727" w:rsidRPr="00A12B8F" w:rsidRDefault="00520727" w:rsidP="00913AC1">
      <w:pPr>
        <w:spacing w:after="0"/>
        <w:rPr>
          <w:rFonts w:eastAsia="MS Mincho"/>
          <w:b/>
          <w:sz w:val="14"/>
          <w:highlight w:val="green"/>
          <w:u w:val="single"/>
          <w:lang w:val="en-US" w:eastAsia="ja-JP"/>
        </w:rPr>
      </w:pPr>
    </w:p>
    <w:p w14:paraId="3B49EEBA" w14:textId="77777777" w:rsidR="00100486" w:rsidRPr="006F0914" w:rsidRDefault="00913AC1" w:rsidP="00100486">
      <w:pPr>
        <w:spacing w:after="0"/>
        <w:rPr>
          <w:rFonts w:eastAsia="MS Mincho"/>
          <w:b/>
          <w:sz w:val="18"/>
          <w:u w:val="single"/>
          <w:lang w:val="en-US" w:eastAsia="ja-JP"/>
        </w:rPr>
      </w:pPr>
      <w:r w:rsidRPr="006F0914">
        <w:rPr>
          <w:rFonts w:eastAsia="MS Mincho"/>
          <w:b/>
          <w:sz w:val="18"/>
          <w:highlight w:val="green"/>
          <w:u w:val="single"/>
          <w:lang w:eastAsia="ja-JP"/>
        </w:rPr>
        <w:t>Agreements:</w:t>
      </w:r>
      <w:r w:rsidRPr="006F0914">
        <w:rPr>
          <w:rFonts w:eastAsia="MS Mincho"/>
          <w:b/>
          <w:sz w:val="18"/>
          <w:lang w:eastAsia="ja-JP"/>
        </w:rPr>
        <w:t xml:space="preserve"> </w:t>
      </w:r>
      <w:r w:rsidR="00100486" w:rsidRPr="006F0914">
        <w:rPr>
          <w:rFonts w:eastAsia="MS Mincho"/>
          <w:sz w:val="18"/>
          <w:lang w:val="en-US" w:eastAsia="ja-JP"/>
        </w:rPr>
        <w:t>(RAN1 #86bis)</w:t>
      </w:r>
    </w:p>
    <w:p w14:paraId="66FA31DE" w14:textId="77777777" w:rsidR="00B32D52" w:rsidRPr="00A12B8F" w:rsidRDefault="00B32D52" w:rsidP="00C32035">
      <w:pPr>
        <w:overflowPunct/>
        <w:autoSpaceDE/>
        <w:autoSpaceDN/>
        <w:adjustRightInd/>
        <w:spacing w:after="0"/>
        <w:ind w:left="2160"/>
        <w:textAlignment w:val="auto"/>
        <w:rPr>
          <w:rFonts w:eastAsia="MS Mincho"/>
          <w:sz w:val="10"/>
          <w:lang w:val="en-US" w:eastAsia="ja-JP"/>
        </w:rPr>
      </w:pPr>
    </w:p>
    <w:p w14:paraId="27580185"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DL HARQ processes for a given UE</w:t>
      </w:r>
    </w:p>
    <w:p w14:paraId="763F060F"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UL HARQ processes for a given UE</w:t>
      </w:r>
    </w:p>
    <w:p w14:paraId="6AD856DF"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URLLC case</w:t>
      </w:r>
    </w:p>
    <w:p w14:paraId="088998BC" w14:textId="77777777" w:rsidR="00B32D52" w:rsidRPr="00A12B8F" w:rsidRDefault="00B32D52" w:rsidP="00B32D52">
      <w:pPr>
        <w:overflowPunct/>
        <w:autoSpaceDE/>
        <w:autoSpaceDN/>
        <w:adjustRightInd/>
        <w:spacing w:after="0"/>
        <w:ind w:left="720"/>
        <w:textAlignment w:val="auto"/>
        <w:rPr>
          <w:rFonts w:eastAsia="MS Mincho"/>
          <w:sz w:val="12"/>
          <w:lang w:val="en-US" w:eastAsia="ja-JP"/>
        </w:rPr>
      </w:pPr>
    </w:p>
    <w:p w14:paraId="21B5112E"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DL HARQ process for some UEs</w:t>
      </w:r>
    </w:p>
    <w:p w14:paraId="3A60E3FC"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UL HARQ process for some UEs</w:t>
      </w:r>
    </w:p>
    <w:p w14:paraId="3216FEF5"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Conditions on supporting above 2 bullets</w:t>
      </w:r>
    </w:p>
    <w:p w14:paraId="373FD0A0" w14:textId="77777777" w:rsidR="00B32D52" w:rsidRPr="006F0914"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gNB has to schedule back-to-back</w:t>
      </w:r>
    </w:p>
    <w:p w14:paraId="263358E0" w14:textId="2BCC3DFB" w:rsidR="00B32D52" w:rsidRDefault="00B32D52" w:rsidP="00B32D52">
      <w:pPr>
        <w:numPr>
          <w:ilvl w:val="0"/>
          <w:numId w:val="18"/>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UE has to support K1=0 and/or K2 = 0</w:t>
      </w:r>
    </w:p>
    <w:p w14:paraId="55727E61" w14:textId="77777777" w:rsidR="002D2190" w:rsidRPr="006F0914" w:rsidRDefault="002D2190" w:rsidP="002D2190">
      <w:pPr>
        <w:overflowPunct/>
        <w:autoSpaceDE/>
        <w:autoSpaceDN/>
        <w:adjustRightInd/>
        <w:spacing w:after="0"/>
        <w:ind w:left="720"/>
        <w:textAlignment w:val="auto"/>
        <w:rPr>
          <w:rFonts w:eastAsia="MS Mincho"/>
          <w:i/>
          <w:sz w:val="16"/>
          <w:lang w:val="en-US" w:eastAsia="ja-JP"/>
        </w:rPr>
      </w:pPr>
    </w:p>
    <w:p w14:paraId="1AE55F8C" w14:textId="315D6DE1" w:rsidR="004B23AD" w:rsidRDefault="008D4B8A" w:rsidP="004B23AD">
      <w:pPr>
        <w:pStyle w:val="Heading1"/>
      </w:pPr>
      <w:r>
        <w:rPr>
          <w:color w:val="000000"/>
        </w:rPr>
        <w:t>2</w:t>
      </w:r>
      <w:r w:rsidR="004B23AD" w:rsidRPr="00A51522">
        <w:rPr>
          <w:color w:val="000000"/>
        </w:rPr>
        <w:tab/>
      </w:r>
      <w:r w:rsidR="00496C97" w:rsidRPr="00496C97">
        <w:t>UE soft buffer relation to number of HARQ processes</w:t>
      </w:r>
    </w:p>
    <w:p w14:paraId="27825502" w14:textId="77777777" w:rsidR="00D25F6B" w:rsidRDefault="005D1161" w:rsidP="00D25F6B">
      <w:pPr>
        <w:rPr>
          <w:rFonts w:eastAsia="MS Mincho"/>
          <w:lang w:eastAsia="ja-JP"/>
        </w:rPr>
      </w:pPr>
      <w:r>
        <w:rPr>
          <w:rFonts w:eastAsia="MS Mincho"/>
          <w:lang w:eastAsia="ja-JP"/>
        </w:rPr>
        <w:t>In order to ensure that all UEs are able to operate in all deployments, t</w:t>
      </w:r>
      <w:r>
        <w:rPr>
          <w:rFonts w:eastAsia="MS Mincho"/>
          <w:lang w:val="en-US" w:eastAsia="ja-JP"/>
        </w:rPr>
        <w:t>he maximum supported number of HARQ processes should not be a UE capability.</w:t>
      </w:r>
      <w:r w:rsidR="00D25F6B">
        <w:rPr>
          <w:rFonts w:eastAsia="MS Mincho"/>
          <w:lang w:val="en-US" w:eastAsia="ja-JP"/>
        </w:rPr>
        <w:t xml:space="preserve"> </w:t>
      </w:r>
      <w:r w:rsidR="00D25F6B">
        <w:rPr>
          <w:rFonts w:eastAsia="MS Mincho"/>
          <w:lang w:eastAsia="ja-JP"/>
        </w:rPr>
        <w:t>The soft-buffer dimensioning needs to take the peak data rate and a reasonable number of HARQ processes into account so that the UE would be able to handle bursty errors due to deteriorating link conditions even with high data rates when a typical number of HARQ process is configured to it, but this dimensioning would not need to take the maximum supported HARQ processes into account, as long as HARQ combining is still possible with full HARQ process configuration as well, even if it is not necessarily possible with the max TB size for all processes at the same time.</w:t>
      </w:r>
    </w:p>
    <w:p w14:paraId="6C5A6786" w14:textId="19600049" w:rsidR="005D1161" w:rsidRDefault="005D1161" w:rsidP="00DF3F71">
      <w:pPr>
        <w:rPr>
          <w:rFonts w:eastAsia="MS Mincho"/>
          <w:lang w:val="en-US" w:eastAsia="ja-JP"/>
        </w:rPr>
      </w:pPr>
      <w:r>
        <w:rPr>
          <w:rFonts w:eastAsia="MS Mincho"/>
          <w:lang w:val="en-US" w:eastAsia="ja-JP"/>
        </w:rPr>
        <w:t>The LTE specification was based on the assumption that all HARQ processes are allocated a fixed-size HARQ soft buffer</w:t>
      </w:r>
      <w:r w:rsidR="00D25F6B">
        <w:rPr>
          <w:rFonts w:eastAsia="MS Mincho"/>
          <w:lang w:val="en-US" w:eastAsia="ja-JP"/>
        </w:rPr>
        <w:t>. Such assumption was acceptable when the number of HARQ processes was fixed, and it still allowed the UE to optimize its soft buffer size by implementing less rigid soft buffer allocation to HARQ processes. At least in some implementation</w:t>
      </w:r>
      <w:r>
        <w:rPr>
          <w:rFonts w:eastAsia="MS Mincho"/>
          <w:lang w:val="en-US" w:eastAsia="ja-JP"/>
        </w:rPr>
        <w:t xml:space="preserve"> architectures it </w:t>
      </w:r>
      <w:r w:rsidR="00D25F6B">
        <w:rPr>
          <w:rFonts w:eastAsia="MS Mincho"/>
          <w:lang w:val="en-US" w:eastAsia="ja-JP"/>
        </w:rPr>
        <w:t>is</w:t>
      </w:r>
      <w:r>
        <w:rPr>
          <w:rFonts w:eastAsia="MS Mincho"/>
          <w:lang w:val="en-US" w:eastAsia="ja-JP"/>
        </w:rPr>
        <w:t xml:space="preserve"> possible to allocate the HARQ soft buffer dynamically and the larger number of HARQ processes would not directly impact the soft buffer dimensioning. If the soft buffer memory needs</w:t>
      </w:r>
      <w:r w:rsidR="00D25F6B">
        <w:rPr>
          <w:rFonts w:eastAsia="MS Mincho"/>
          <w:lang w:val="en-US" w:eastAsia="ja-JP"/>
        </w:rPr>
        <w:t xml:space="preserve"> for</w:t>
      </w:r>
      <w:r>
        <w:rPr>
          <w:rFonts w:eastAsia="MS Mincho"/>
          <w:lang w:val="en-US" w:eastAsia="ja-JP"/>
        </w:rPr>
        <w:t xml:space="preserve"> the simultaneously pending re-transmissions would exceed the overall soft buffer capacity the UE would have to drop some TBs from the soft buffer and lose HARQ combining gain. Such UE architecture would not need to trade-off between the supported TB size (peak data rate) and the number of su</w:t>
      </w:r>
      <w:r w:rsidR="00D25F6B">
        <w:rPr>
          <w:rFonts w:eastAsia="MS Mincho"/>
          <w:lang w:val="en-US" w:eastAsia="ja-JP"/>
        </w:rPr>
        <w:t>pported HARQ processes.</w:t>
      </w:r>
    </w:p>
    <w:p w14:paraId="0DF05D33" w14:textId="3FE002EA" w:rsidR="00D25F6B" w:rsidRDefault="00D25F6B" w:rsidP="00D25F6B">
      <w:pPr>
        <w:rPr>
          <w:rFonts w:eastAsia="MS Mincho"/>
          <w:lang w:val="en-US" w:eastAsia="ja-JP"/>
        </w:rPr>
      </w:pPr>
      <w:r>
        <w:rPr>
          <w:rFonts w:eastAsia="MS Mincho"/>
          <w:lang w:val="en-US" w:eastAsia="ja-JP"/>
        </w:rPr>
        <w:t xml:space="preserve">Moreover, the fixed soft-buffer split among HARQ processes as </w:t>
      </w:r>
      <w:r w:rsidR="00FA1D64">
        <w:rPr>
          <w:rFonts w:eastAsia="MS Mincho"/>
          <w:lang w:val="en-US" w:eastAsia="ja-JP"/>
        </w:rPr>
        <w:t xml:space="preserve">in principle </w:t>
      </w:r>
      <w:r>
        <w:rPr>
          <w:rFonts w:eastAsia="MS Mincho"/>
          <w:lang w:val="en-US" w:eastAsia="ja-JP"/>
        </w:rPr>
        <w:t xml:space="preserve">done e.g. for LTE carrier aggregation would not be very practical in NR. While in case of LTE each carrier is limited to 20MHz/100PRBs and having a fixed </w:t>
      </w:r>
      <w:r>
        <w:rPr>
          <w:rFonts w:eastAsia="MS Mincho"/>
          <w:lang w:val="en-US" w:eastAsia="ja-JP"/>
        </w:rPr>
        <w:lastRenderedPageBreak/>
        <w:t xml:space="preserve">number of PDSCH symbols, the situation for NR is different as we have to consider a rather large variation in the carrier bandwidths, varying SCS, varying PDSCH durations. This leads to a large variation of the TB sizes between HARQ processes from a single UE point of view even if each of them is scheduled with the DL peak data rate. Therefore, some more flexible UE soft-buffer management in the UE will be needed to cope with such TB size variations. </w:t>
      </w:r>
    </w:p>
    <w:p w14:paraId="757A40A6" w14:textId="09489C2E" w:rsidR="00F96678" w:rsidRDefault="00F96678" w:rsidP="00D25F6B">
      <w:pPr>
        <w:rPr>
          <w:rFonts w:eastAsia="MS Mincho"/>
          <w:lang w:val="en-US" w:eastAsia="ja-JP"/>
        </w:rPr>
      </w:pPr>
      <w:r>
        <w:rPr>
          <w:rFonts w:eastAsia="MS Mincho"/>
          <w:lang w:val="en-US" w:eastAsia="ja-JP"/>
        </w:rPr>
        <w:t>A semi-static (as opposed to dynamic) HARQ soft buffer allocation may be desired in simpler UE architectures, and the need to support such should be discussed further, while defining NR in such a way that the dynamic soft buffer usage is beneficial for the UE.</w:t>
      </w:r>
    </w:p>
    <w:p w14:paraId="353BF382" w14:textId="416BC3C9" w:rsidR="00F96678" w:rsidRPr="00F96678" w:rsidRDefault="00F96678" w:rsidP="00DF3F71">
      <w:pPr>
        <w:spacing w:after="200" w:line="276" w:lineRule="auto"/>
        <w:jc w:val="both"/>
        <w:rPr>
          <w:i/>
          <w:lang w:val="en-US"/>
        </w:rPr>
      </w:pPr>
      <w:r w:rsidRPr="00E541B0">
        <w:rPr>
          <w:b/>
          <w:bCs/>
          <w:lang w:val="en-US"/>
        </w:rPr>
        <w:t xml:space="preserve">Proposal </w:t>
      </w:r>
      <w:r>
        <w:rPr>
          <w:b/>
          <w:bCs/>
          <w:lang w:val="en-US"/>
        </w:rPr>
        <w:t>#1</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and per MIMO CW is common to all UEs capable of supporting mobile broadband services, and the value is fixed in the specification.</w:t>
      </w:r>
    </w:p>
    <w:p w14:paraId="12B346F0" w14:textId="4640C4AB" w:rsidR="00DF3F71" w:rsidRDefault="00DF3F71" w:rsidP="00DF3F71">
      <w:pPr>
        <w:spacing w:after="200" w:line="276" w:lineRule="auto"/>
        <w:jc w:val="both"/>
        <w:rPr>
          <w:i/>
          <w:lang w:val="en-US"/>
        </w:rPr>
      </w:pPr>
      <w:r w:rsidRPr="00E541B0">
        <w:rPr>
          <w:b/>
          <w:bCs/>
          <w:lang w:val="en-US"/>
        </w:rPr>
        <w:t xml:space="preserve">Proposal </w:t>
      </w:r>
      <w:r>
        <w:rPr>
          <w:b/>
          <w:bCs/>
          <w:lang w:val="en-US"/>
        </w:rPr>
        <w:t>#</w:t>
      </w:r>
      <w:r w:rsidR="00F96678">
        <w:rPr>
          <w:b/>
          <w:bCs/>
          <w:lang w:val="en-US"/>
        </w:rPr>
        <w:t>2</w:t>
      </w:r>
      <w:r w:rsidRPr="00E541B0">
        <w:rPr>
          <w:b/>
          <w:bCs/>
          <w:lang w:val="en-US"/>
        </w:rPr>
        <w:t xml:space="preserve">: </w:t>
      </w:r>
      <w:r>
        <w:rPr>
          <w:i/>
          <w:lang w:val="en-US"/>
        </w:rPr>
        <w:t xml:space="preserve">Assume that </w:t>
      </w:r>
      <w:r w:rsidR="00D25F6B">
        <w:rPr>
          <w:i/>
          <w:lang w:val="en-US"/>
        </w:rPr>
        <w:t xml:space="preserve">at least some </w:t>
      </w:r>
      <w:r>
        <w:rPr>
          <w:i/>
          <w:lang w:val="en-US"/>
        </w:rPr>
        <w:t>UEs are able to dynamically allocate soft buffer memory to HARQ processes on a need basis</w:t>
      </w:r>
    </w:p>
    <w:p w14:paraId="40162380" w14:textId="1BE4CF3B" w:rsidR="00F96678" w:rsidRDefault="00F96678" w:rsidP="00F96678">
      <w:pPr>
        <w:spacing w:after="200" w:line="276" w:lineRule="auto"/>
        <w:jc w:val="both"/>
        <w:rPr>
          <w:i/>
          <w:lang w:val="en-US"/>
        </w:rPr>
      </w:pPr>
      <w:r w:rsidRPr="00E541B0">
        <w:rPr>
          <w:b/>
          <w:bCs/>
          <w:lang w:val="en-US"/>
        </w:rPr>
        <w:t xml:space="preserve">Proposal </w:t>
      </w:r>
      <w:r>
        <w:rPr>
          <w:b/>
          <w:bCs/>
          <w:lang w:val="en-US"/>
        </w:rPr>
        <w:t>#3</w:t>
      </w:r>
      <w:r w:rsidRPr="00E541B0">
        <w:rPr>
          <w:b/>
          <w:bCs/>
          <w:lang w:val="en-US"/>
        </w:rPr>
        <w:t xml:space="preserve">: </w:t>
      </w:r>
      <w:r w:rsidR="00C24707">
        <w:rPr>
          <w:i/>
          <w:lang w:val="en-US"/>
        </w:rPr>
        <w:t xml:space="preserve">If it is not possible to assume </w:t>
      </w:r>
      <w:r w:rsidR="00C24707" w:rsidRPr="00150836">
        <w:rPr>
          <w:i/>
          <w:lang w:val="en-US"/>
        </w:rPr>
        <w:t>that all UEs are able to</w:t>
      </w:r>
      <w:r w:rsidR="00C24707">
        <w:rPr>
          <w:i/>
          <w:lang w:val="en-US"/>
        </w:rPr>
        <w:t xml:space="preserve"> dynamically allocate soft buffer, t</w:t>
      </w:r>
      <w:r w:rsidRPr="00E541B0">
        <w:rPr>
          <w:i/>
          <w:lang w:val="en-US"/>
        </w:rPr>
        <w:t>he number of HARQ pro</w:t>
      </w:r>
      <w:r>
        <w:rPr>
          <w:i/>
          <w:lang w:val="en-US"/>
        </w:rPr>
        <w:t>cesses used in downlink per carrier and per MIMO CW is</w:t>
      </w:r>
      <w:r w:rsidRPr="00E541B0">
        <w:rPr>
          <w:i/>
          <w:lang w:val="en-US"/>
        </w:rPr>
        <w:t xml:space="preserve"> configurable semi-statically</w:t>
      </w:r>
    </w:p>
    <w:p w14:paraId="02B5240E" w14:textId="40A2AC31" w:rsidR="00DF3F71" w:rsidRDefault="00DF3F71" w:rsidP="00DF3F71">
      <w:pPr>
        <w:spacing w:after="200" w:line="276" w:lineRule="auto"/>
        <w:jc w:val="both"/>
        <w:rPr>
          <w:i/>
          <w:lang w:val="en-US"/>
        </w:rPr>
      </w:pPr>
      <w:r>
        <w:rPr>
          <w:b/>
          <w:bCs/>
          <w:lang w:val="en-US"/>
        </w:rPr>
        <w:t>Proposal #</w:t>
      </w:r>
      <w:r w:rsidR="00F96678">
        <w:rPr>
          <w:b/>
          <w:bCs/>
          <w:lang w:val="en-US"/>
        </w:rPr>
        <w:t>4</w:t>
      </w:r>
      <w:r w:rsidRPr="00E541B0">
        <w:rPr>
          <w:b/>
          <w:bCs/>
          <w:lang w:val="en-US"/>
        </w:rPr>
        <w:t xml:space="preserve">: </w:t>
      </w:r>
      <w:r>
        <w:rPr>
          <w:i/>
          <w:lang w:val="en-US"/>
        </w:rPr>
        <w:t>T</w:t>
      </w:r>
      <w:r w:rsidRPr="00E541B0">
        <w:rPr>
          <w:i/>
          <w:lang w:val="en-US"/>
        </w:rPr>
        <w:t xml:space="preserve">he </w:t>
      </w:r>
      <w:r w:rsidR="00CD6E97">
        <w:rPr>
          <w:i/>
          <w:lang w:val="en-US"/>
        </w:rPr>
        <w:t>maximum TB size</w:t>
      </w:r>
      <w:r w:rsidR="00CD6E97" w:rsidRPr="00CD6E97">
        <w:rPr>
          <w:i/>
          <w:lang w:val="en-US"/>
        </w:rPr>
        <w:t xml:space="preserve"> the UE </w:t>
      </w:r>
      <w:r w:rsidR="00CD6E97">
        <w:rPr>
          <w:i/>
          <w:lang w:val="en-US"/>
        </w:rPr>
        <w:t xml:space="preserve">can be transmitted </w:t>
      </w:r>
      <w:r w:rsidR="00F96678">
        <w:rPr>
          <w:i/>
          <w:lang w:val="en-US"/>
        </w:rPr>
        <w:t xml:space="preserve">to </w:t>
      </w:r>
      <w:r w:rsidR="00CD6E97" w:rsidRPr="00CD6E97">
        <w:rPr>
          <w:i/>
          <w:lang w:val="en-US"/>
        </w:rPr>
        <w:t>is the same regardless of the number of configured HARQ processes</w:t>
      </w:r>
      <w:bookmarkStart w:id="2" w:name="_GoBack"/>
      <w:bookmarkEnd w:id="2"/>
    </w:p>
    <w:p w14:paraId="30A1DFEC" w14:textId="3AA74FA3" w:rsidR="00F811DE" w:rsidRDefault="00DF3F71" w:rsidP="00F64AFE">
      <w:pPr>
        <w:spacing w:after="200" w:line="276" w:lineRule="auto"/>
        <w:jc w:val="both"/>
        <w:rPr>
          <w:i/>
          <w:lang w:val="en-US"/>
        </w:rPr>
      </w:pPr>
      <w:r w:rsidRPr="00E541B0">
        <w:rPr>
          <w:b/>
          <w:bCs/>
          <w:lang w:val="en-US"/>
        </w:rPr>
        <w:t>Proposal</w:t>
      </w:r>
      <w:r>
        <w:rPr>
          <w:b/>
          <w:bCs/>
          <w:lang w:val="en-US"/>
        </w:rPr>
        <w:t xml:space="preserve"> #5</w:t>
      </w:r>
      <w:r w:rsidRPr="00E541B0">
        <w:rPr>
          <w:b/>
          <w:bCs/>
          <w:lang w:val="en-US"/>
        </w:rPr>
        <w:t xml:space="preserve">: </w:t>
      </w:r>
      <w:r>
        <w:rPr>
          <w:i/>
          <w:lang w:val="en-US"/>
        </w:rPr>
        <w:t>T</w:t>
      </w:r>
      <w:r w:rsidRPr="00E541B0">
        <w:rPr>
          <w:i/>
          <w:lang w:val="en-US"/>
        </w:rPr>
        <w:t xml:space="preserve">he </w:t>
      </w:r>
      <w:r>
        <w:rPr>
          <w:i/>
          <w:lang w:val="en-US"/>
        </w:rPr>
        <w:t>UE’s soft combining performance may be reduced when a large number of HARQ processes is configured</w:t>
      </w:r>
      <w:r w:rsidR="00204FCD">
        <w:rPr>
          <w:i/>
          <w:lang w:val="en-US"/>
        </w:rPr>
        <w:t xml:space="preserve"> and the UE is scheduled continuously with (clos</w:t>
      </w:r>
      <w:r w:rsidR="00B06C50">
        <w:rPr>
          <w:i/>
          <w:lang w:val="en-US"/>
        </w:rPr>
        <w:t>e</w:t>
      </w:r>
      <w:r w:rsidR="00204FCD">
        <w:rPr>
          <w:i/>
          <w:lang w:val="en-US"/>
        </w:rPr>
        <w:t xml:space="preserve"> to) peak data rate</w:t>
      </w:r>
    </w:p>
    <w:p w14:paraId="4D1833FB" w14:textId="3C292009" w:rsidR="0034111C"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10BED68F" w14:textId="68453A6A" w:rsidR="00F64AFE" w:rsidRDefault="00F64AFE" w:rsidP="00F64AFE">
      <w:r>
        <w:t>In this contribution the following proposals related to the number of HARQ processes and UE HARQ soft buffer relation to the peak data rate support are made:</w:t>
      </w:r>
    </w:p>
    <w:p w14:paraId="2BBB0DE8" w14:textId="0F84A1F5" w:rsidR="00F64AFE" w:rsidRDefault="00F64AFE" w:rsidP="00F64AFE">
      <w:pPr>
        <w:spacing w:after="200" w:line="276" w:lineRule="auto"/>
        <w:jc w:val="both"/>
        <w:rPr>
          <w:i/>
          <w:lang w:val="en-US"/>
        </w:rPr>
      </w:pPr>
      <w:r w:rsidRPr="00E541B0">
        <w:rPr>
          <w:b/>
          <w:bCs/>
          <w:lang w:val="en-US"/>
        </w:rPr>
        <w:t xml:space="preserve">Proposal </w:t>
      </w:r>
      <w:r>
        <w:rPr>
          <w:b/>
          <w:bCs/>
          <w:lang w:val="en-US"/>
        </w:rPr>
        <w:t>#</w:t>
      </w:r>
      <w:r w:rsidR="00071F82">
        <w:rPr>
          <w:b/>
          <w:bCs/>
          <w:lang w:val="en-US"/>
        </w:rPr>
        <w:t>1</w:t>
      </w:r>
      <w:r w:rsidRPr="00E541B0">
        <w:rPr>
          <w:b/>
          <w:bCs/>
          <w:lang w:val="en-US"/>
        </w:rPr>
        <w:t xml:space="preserve">: </w:t>
      </w:r>
      <w:r w:rsidRPr="00E541B0">
        <w:rPr>
          <w:i/>
          <w:lang w:val="en-US"/>
        </w:rPr>
        <w:t xml:space="preserve">The </w:t>
      </w:r>
      <w:r>
        <w:rPr>
          <w:i/>
          <w:lang w:val="en-US"/>
        </w:rPr>
        <w:t xml:space="preserve">maximum </w:t>
      </w:r>
      <w:r w:rsidRPr="00E541B0">
        <w:rPr>
          <w:i/>
          <w:lang w:val="en-US"/>
        </w:rPr>
        <w:t xml:space="preserve">number of </w:t>
      </w:r>
      <w:r>
        <w:rPr>
          <w:i/>
          <w:lang w:val="en-US"/>
        </w:rPr>
        <w:t xml:space="preserve">supported </w:t>
      </w:r>
      <w:r w:rsidRPr="00E541B0">
        <w:rPr>
          <w:i/>
          <w:lang w:val="en-US"/>
        </w:rPr>
        <w:t xml:space="preserve">HARQ processes </w:t>
      </w:r>
      <w:r>
        <w:rPr>
          <w:i/>
          <w:lang w:val="en-US"/>
        </w:rPr>
        <w:t>per carrier is common to all UEs capable of supporting mobile broadband services</w:t>
      </w:r>
      <w:r w:rsidR="00CD6E97">
        <w:rPr>
          <w:i/>
          <w:lang w:val="en-US"/>
        </w:rPr>
        <w:t>, and the value is fixed in the specification</w:t>
      </w:r>
      <w:r>
        <w:rPr>
          <w:i/>
          <w:lang w:val="en-US"/>
        </w:rPr>
        <w:t>.</w:t>
      </w:r>
    </w:p>
    <w:p w14:paraId="6248C9CC" w14:textId="6E45F62A" w:rsidR="00F64AFE" w:rsidRDefault="00F64AFE" w:rsidP="00F64AFE">
      <w:pPr>
        <w:spacing w:after="200" w:line="276" w:lineRule="auto"/>
        <w:jc w:val="both"/>
        <w:rPr>
          <w:i/>
          <w:lang w:val="en-US"/>
        </w:rPr>
      </w:pPr>
      <w:r w:rsidRPr="00E541B0">
        <w:rPr>
          <w:b/>
          <w:bCs/>
          <w:lang w:val="en-US"/>
        </w:rPr>
        <w:t xml:space="preserve">Proposal </w:t>
      </w:r>
      <w:r>
        <w:rPr>
          <w:b/>
          <w:bCs/>
          <w:lang w:val="en-US"/>
        </w:rPr>
        <w:t>#</w:t>
      </w:r>
      <w:r w:rsidR="00071F82">
        <w:rPr>
          <w:b/>
          <w:bCs/>
          <w:lang w:val="en-US"/>
        </w:rPr>
        <w:t>2</w:t>
      </w:r>
      <w:r w:rsidRPr="00E541B0">
        <w:rPr>
          <w:b/>
          <w:bCs/>
          <w:lang w:val="en-US"/>
        </w:rPr>
        <w:t xml:space="preserve">: </w:t>
      </w:r>
      <w:r>
        <w:rPr>
          <w:i/>
          <w:lang w:val="en-US"/>
        </w:rPr>
        <w:t>Assume that the UEs are able to dynamically allocate soft buffer memory to HARQ processes on a need basis</w:t>
      </w:r>
    </w:p>
    <w:p w14:paraId="0B9A3CA1" w14:textId="22076F7E" w:rsidR="002D2190" w:rsidRDefault="00F64AFE" w:rsidP="00F64AFE">
      <w:pPr>
        <w:spacing w:after="200" w:line="276" w:lineRule="auto"/>
        <w:jc w:val="both"/>
        <w:rPr>
          <w:b/>
          <w:bCs/>
          <w:lang w:val="en-US"/>
        </w:rPr>
      </w:pPr>
      <w:bookmarkStart w:id="3" w:name="_Hlk490223633"/>
      <w:r>
        <w:rPr>
          <w:b/>
          <w:bCs/>
          <w:lang w:val="en-US"/>
        </w:rPr>
        <w:t>Proposal #</w:t>
      </w:r>
      <w:r w:rsidR="00071F82">
        <w:rPr>
          <w:b/>
          <w:bCs/>
          <w:lang w:val="en-US"/>
        </w:rPr>
        <w:t>3</w:t>
      </w:r>
      <w:r w:rsidRPr="00E541B0">
        <w:rPr>
          <w:b/>
          <w:bCs/>
          <w:lang w:val="en-US"/>
        </w:rPr>
        <w:t xml:space="preserve">: </w:t>
      </w:r>
      <w:r w:rsidR="00C24707">
        <w:rPr>
          <w:i/>
          <w:lang w:val="en-US"/>
        </w:rPr>
        <w:t xml:space="preserve">If it is not possible to </w:t>
      </w:r>
      <w:r w:rsidR="00C24707" w:rsidRPr="00071F82">
        <w:rPr>
          <w:i/>
          <w:lang w:val="en-US"/>
        </w:rPr>
        <w:t>assume that all UEs</w:t>
      </w:r>
      <w:r w:rsidR="00C24707">
        <w:rPr>
          <w:i/>
          <w:lang w:val="en-US"/>
        </w:rPr>
        <w:t xml:space="preserve"> are able to dynamically allocate soft buffer, t</w:t>
      </w:r>
      <w:r w:rsidR="002D2190" w:rsidRPr="00E541B0">
        <w:rPr>
          <w:i/>
          <w:lang w:val="en-US"/>
        </w:rPr>
        <w:t xml:space="preserve">he </w:t>
      </w:r>
      <w:r w:rsidR="002D2190">
        <w:rPr>
          <w:i/>
          <w:lang w:val="en-US"/>
        </w:rPr>
        <w:t>maximum TB size</w:t>
      </w:r>
      <w:r w:rsidR="002D2190" w:rsidRPr="00CD6E97">
        <w:rPr>
          <w:i/>
          <w:lang w:val="en-US"/>
        </w:rPr>
        <w:t xml:space="preserve"> the UE </w:t>
      </w:r>
      <w:r w:rsidR="002D2190">
        <w:rPr>
          <w:i/>
          <w:lang w:val="en-US"/>
        </w:rPr>
        <w:t>can be transmitted with</w:t>
      </w:r>
      <w:r w:rsidR="002D2190" w:rsidRPr="00CD6E97">
        <w:rPr>
          <w:i/>
          <w:lang w:val="en-US"/>
        </w:rPr>
        <w:t xml:space="preserve"> is the same regardless of the number of configured HARQ processes</w:t>
      </w:r>
      <w:r w:rsidR="002D2190" w:rsidRPr="00E541B0">
        <w:rPr>
          <w:b/>
          <w:bCs/>
          <w:lang w:val="en-US"/>
        </w:rPr>
        <w:t xml:space="preserve"> </w:t>
      </w:r>
    </w:p>
    <w:p w14:paraId="5068A831" w14:textId="77777777" w:rsidR="00150836" w:rsidRDefault="00150836" w:rsidP="00150836">
      <w:pPr>
        <w:spacing w:after="200" w:line="276" w:lineRule="auto"/>
        <w:jc w:val="both"/>
        <w:rPr>
          <w:i/>
          <w:lang w:val="en-US"/>
        </w:rPr>
      </w:pPr>
      <w:r>
        <w:rPr>
          <w:b/>
          <w:bCs/>
          <w:lang w:val="en-US"/>
        </w:rPr>
        <w:t>Proposal #4</w:t>
      </w:r>
      <w:r w:rsidRPr="00E541B0">
        <w:rPr>
          <w:b/>
          <w:bCs/>
          <w:lang w:val="en-US"/>
        </w:rPr>
        <w:t xml:space="preserve">: </w:t>
      </w:r>
      <w:r>
        <w:rPr>
          <w:i/>
          <w:lang w:val="en-US"/>
        </w:rPr>
        <w:t>T</w:t>
      </w:r>
      <w:r w:rsidRPr="00E541B0">
        <w:rPr>
          <w:i/>
          <w:lang w:val="en-US"/>
        </w:rPr>
        <w:t xml:space="preserve">he </w:t>
      </w:r>
      <w:r>
        <w:rPr>
          <w:i/>
          <w:lang w:val="en-US"/>
        </w:rPr>
        <w:t>maximum TB size</w:t>
      </w:r>
      <w:r w:rsidRPr="00CD6E97">
        <w:rPr>
          <w:i/>
          <w:lang w:val="en-US"/>
        </w:rPr>
        <w:t xml:space="preserve"> the UE </w:t>
      </w:r>
      <w:r>
        <w:rPr>
          <w:i/>
          <w:lang w:val="en-US"/>
        </w:rPr>
        <w:t xml:space="preserve">can be transmitted to </w:t>
      </w:r>
      <w:r w:rsidRPr="00CD6E97">
        <w:rPr>
          <w:i/>
          <w:lang w:val="en-US"/>
        </w:rPr>
        <w:t>is the same regardless of the number of configured HARQ processes</w:t>
      </w:r>
    </w:p>
    <w:bookmarkEnd w:id="3"/>
    <w:p w14:paraId="576A7934" w14:textId="6616632F" w:rsidR="00F64AFE" w:rsidRDefault="00F64AFE" w:rsidP="00F64AFE">
      <w:pPr>
        <w:spacing w:after="200" w:line="276" w:lineRule="auto"/>
        <w:jc w:val="both"/>
        <w:rPr>
          <w:i/>
          <w:lang w:val="en-US"/>
        </w:rPr>
      </w:pPr>
      <w:r w:rsidRPr="00E541B0">
        <w:rPr>
          <w:b/>
          <w:bCs/>
          <w:lang w:val="en-US"/>
        </w:rPr>
        <w:t>Proposal</w:t>
      </w:r>
      <w:r>
        <w:rPr>
          <w:b/>
          <w:bCs/>
          <w:lang w:val="en-US"/>
        </w:rPr>
        <w:t xml:space="preserve"> #</w:t>
      </w:r>
      <w:r w:rsidR="00150836">
        <w:rPr>
          <w:b/>
          <w:bCs/>
          <w:lang w:val="en-US"/>
        </w:rPr>
        <w:t>5</w:t>
      </w:r>
      <w:r w:rsidRPr="00E541B0">
        <w:rPr>
          <w:b/>
          <w:bCs/>
          <w:lang w:val="en-US"/>
        </w:rPr>
        <w:t xml:space="preserve">: </w:t>
      </w:r>
      <w:r>
        <w:rPr>
          <w:i/>
          <w:lang w:val="en-US"/>
        </w:rPr>
        <w:t>T</w:t>
      </w:r>
      <w:r w:rsidRPr="00E541B0">
        <w:rPr>
          <w:i/>
          <w:lang w:val="en-US"/>
        </w:rPr>
        <w:t xml:space="preserve">he </w:t>
      </w:r>
      <w:r>
        <w:rPr>
          <w:i/>
          <w:lang w:val="en-US"/>
        </w:rPr>
        <w:t>UE’s soft combining performance may be reduced when a large number of HARQ processes is configured and the UE is scheduled continuously with (close to) peak data rate</w:t>
      </w:r>
    </w:p>
    <w:p w14:paraId="16558D07" w14:textId="77777777" w:rsidR="0034111C" w:rsidRPr="00A51522" w:rsidRDefault="0034111C">
      <w:pPr>
        <w:pStyle w:val="Heading1"/>
      </w:pPr>
      <w:r w:rsidRPr="00A51522">
        <w:t>References</w:t>
      </w:r>
      <w:r w:rsidR="00A2459D" w:rsidRPr="00A51522">
        <w:t xml:space="preserve"> </w:t>
      </w:r>
    </w:p>
    <w:p w14:paraId="6B0FF054" w14:textId="77777777" w:rsidR="00055676" w:rsidRPr="00013455" w:rsidRDefault="00055676" w:rsidP="006F0914">
      <w:pPr>
        <w:numPr>
          <w:ilvl w:val="0"/>
          <w:numId w:val="1"/>
        </w:numPr>
        <w:spacing w:after="120"/>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D83AC7E" w14:textId="77777777" w:rsidR="00A12B8F" w:rsidRDefault="00A12B8F" w:rsidP="00A12B8F">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09EC16D3" w14:textId="2E15204B" w:rsidR="007F375E" w:rsidRPr="007F375E" w:rsidRDefault="0093500F" w:rsidP="007F375E">
      <w:pPr>
        <w:numPr>
          <w:ilvl w:val="0"/>
          <w:numId w:val="1"/>
        </w:numPr>
        <w:spacing w:after="120"/>
        <w:rPr>
          <w:sz w:val="18"/>
        </w:rPr>
      </w:pPr>
      <w:r w:rsidRPr="0093500F">
        <w:rPr>
          <w:sz w:val="18"/>
        </w:rPr>
        <w:t>R1-171</w:t>
      </w:r>
      <w:r w:rsidR="00071F82">
        <w:rPr>
          <w:sz w:val="18"/>
        </w:rPr>
        <w:t>4017</w:t>
      </w:r>
      <w:r w:rsidR="007F375E" w:rsidRPr="0093500F">
        <w:rPr>
          <w:sz w:val="18"/>
        </w:rPr>
        <w:t>, “</w:t>
      </w:r>
      <w:r w:rsidR="007F375E" w:rsidRPr="0093500F">
        <w:rPr>
          <w:i/>
          <w:sz w:val="18"/>
        </w:rPr>
        <w:t>On the</w:t>
      </w:r>
      <w:r w:rsidR="007F375E" w:rsidRPr="008E1DE5">
        <w:rPr>
          <w:i/>
          <w:sz w:val="18"/>
        </w:rPr>
        <w:t xml:space="preserve"> number of HARQ processes</w:t>
      </w:r>
      <w:r w:rsidR="00071F82">
        <w:rPr>
          <w:sz w:val="18"/>
        </w:rPr>
        <w:t>”, Nokia, Nokia Shanghai Bell</w:t>
      </w:r>
    </w:p>
    <w:sectPr w:rsidR="007F375E" w:rsidRPr="007F375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1624A" w14:textId="77777777" w:rsidR="00897E37" w:rsidRDefault="00897E37">
      <w:r>
        <w:separator/>
      </w:r>
    </w:p>
  </w:endnote>
  <w:endnote w:type="continuationSeparator" w:id="0">
    <w:p w14:paraId="586FDFB0" w14:textId="77777777" w:rsidR="00897E37" w:rsidRDefault="00897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2C7FD" w14:textId="77777777" w:rsidR="00897E37" w:rsidRDefault="00897E37">
      <w:r>
        <w:separator/>
      </w:r>
    </w:p>
  </w:footnote>
  <w:footnote w:type="continuationSeparator" w:id="0">
    <w:p w14:paraId="57039ACC" w14:textId="77777777" w:rsidR="00897E37" w:rsidRDefault="00897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4"/>
  </w:num>
  <w:num w:numId="3">
    <w:abstractNumId w:val="12"/>
  </w:num>
  <w:num w:numId="4">
    <w:abstractNumId w:val="10"/>
  </w:num>
  <w:num w:numId="5">
    <w:abstractNumId w:val="26"/>
  </w:num>
  <w:num w:numId="6">
    <w:abstractNumId w:val="8"/>
  </w:num>
  <w:num w:numId="7">
    <w:abstractNumId w:val="24"/>
  </w:num>
  <w:num w:numId="8">
    <w:abstractNumId w:val="20"/>
  </w:num>
  <w:num w:numId="9">
    <w:abstractNumId w:val="25"/>
  </w:num>
  <w:num w:numId="10">
    <w:abstractNumId w:val="15"/>
  </w:num>
  <w:num w:numId="11">
    <w:abstractNumId w:val="0"/>
  </w:num>
  <w:num w:numId="12">
    <w:abstractNumId w:val="11"/>
  </w:num>
  <w:num w:numId="13">
    <w:abstractNumId w:val="16"/>
  </w:num>
  <w:num w:numId="14">
    <w:abstractNumId w:val="5"/>
  </w:num>
  <w:num w:numId="15">
    <w:abstractNumId w:val="22"/>
  </w:num>
  <w:num w:numId="16">
    <w:abstractNumId w:val="18"/>
  </w:num>
  <w:num w:numId="17">
    <w:abstractNumId w:val="14"/>
  </w:num>
  <w:num w:numId="18">
    <w:abstractNumId w:val="28"/>
  </w:num>
  <w:num w:numId="19">
    <w:abstractNumId w:val="7"/>
  </w:num>
  <w:num w:numId="20">
    <w:abstractNumId w:val="21"/>
  </w:num>
  <w:num w:numId="21">
    <w:abstractNumId w:val="6"/>
  </w:num>
  <w:num w:numId="22">
    <w:abstractNumId w:val="19"/>
  </w:num>
  <w:num w:numId="23">
    <w:abstractNumId w:val="17"/>
  </w:num>
  <w:num w:numId="24">
    <w:abstractNumId w:val="1"/>
  </w:num>
  <w:num w:numId="25">
    <w:abstractNumId w:val="23"/>
  </w:num>
  <w:num w:numId="26">
    <w:abstractNumId w:val="9"/>
  </w:num>
  <w:num w:numId="27">
    <w:abstractNumId w:val="2"/>
  </w:num>
  <w:num w:numId="28">
    <w:abstractNumId w:val="3"/>
  </w:num>
  <w:num w:numId="2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1F82"/>
    <w:rsid w:val="0007205E"/>
    <w:rsid w:val="00072BBA"/>
    <w:rsid w:val="000747F0"/>
    <w:rsid w:val="00075FDA"/>
    <w:rsid w:val="00076386"/>
    <w:rsid w:val="00076D61"/>
    <w:rsid w:val="00076D82"/>
    <w:rsid w:val="00081EC2"/>
    <w:rsid w:val="00083800"/>
    <w:rsid w:val="00084A65"/>
    <w:rsid w:val="0009137C"/>
    <w:rsid w:val="00091A92"/>
    <w:rsid w:val="00093AAD"/>
    <w:rsid w:val="00093C49"/>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0836"/>
    <w:rsid w:val="0015130F"/>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4FCD"/>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08F"/>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607D"/>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C86"/>
    <w:rsid w:val="002E0692"/>
    <w:rsid w:val="002E1D74"/>
    <w:rsid w:val="002E2943"/>
    <w:rsid w:val="002E2CF1"/>
    <w:rsid w:val="002E34AF"/>
    <w:rsid w:val="002E3767"/>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1176E"/>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C9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1161"/>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B4DB2"/>
    <w:rsid w:val="006C1445"/>
    <w:rsid w:val="006C4FC1"/>
    <w:rsid w:val="006C529D"/>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533"/>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375E"/>
    <w:rsid w:val="007F43BC"/>
    <w:rsid w:val="007F4740"/>
    <w:rsid w:val="008006C6"/>
    <w:rsid w:val="0080153E"/>
    <w:rsid w:val="0080742D"/>
    <w:rsid w:val="0081151E"/>
    <w:rsid w:val="00812498"/>
    <w:rsid w:val="008127E6"/>
    <w:rsid w:val="0081336E"/>
    <w:rsid w:val="00813928"/>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97E37"/>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1DE5"/>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00F"/>
    <w:rsid w:val="00935D15"/>
    <w:rsid w:val="009411FB"/>
    <w:rsid w:val="009414A9"/>
    <w:rsid w:val="009414D9"/>
    <w:rsid w:val="00941B71"/>
    <w:rsid w:val="009421AD"/>
    <w:rsid w:val="0094221C"/>
    <w:rsid w:val="0094409C"/>
    <w:rsid w:val="00944159"/>
    <w:rsid w:val="00944816"/>
    <w:rsid w:val="009449B2"/>
    <w:rsid w:val="00944A82"/>
    <w:rsid w:val="00946C4D"/>
    <w:rsid w:val="009476FE"/>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6F3D"/>
    <w:rsid w:val="009777F4"/>
    <w:rsid w:val="00977AD8"/>
    <w:rsid w:val="00980A10"/>
    <w:rsid w:val="00981130"/>
    <w:rsid w:val="009821B6"/>
    <w:rsid w:val="00983D46"/>
    <w:rsid w:val="00983DCA"/>
    <w:rsid w:val="00985EF7"/>
    <w:rsid w:val="00986CF9"/>
    <w:rsid w:val="00990245"/>
    <w:rsid w:val="00990C0E"/>
    <w:rsid w:val="00990D75"/>
    <w:rsid w:val="00991093"/>
    <w:rsid w:val="0099163B"/>
    <w:rsid w:val="00992343"/>
    <w:rsid w:val="009929A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4605"/>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805"/>
    <w:rsid w:val="00B7267A"/>
    <w:rsid w:val="00B726FF"/>
    <w:rsid w:val="00B72AA4"/>
    <w:rsid w:val="00B74781"/>
    <w:rsid w:val="00B76BCD"/>
    <w:rsid w:val="00B76EE9"/>
    <w:rsid w:val="00B7788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998"/>
    <w:rsid w:val="00BC1AD9"/>
    <w:rsid w:val="00BC32E7"/>
    <w:rsid w:val="00BC58B9"/>
    <w:rsid w:val="00BD3E68"/>
    <w:rsid w:val="00BD598A"/>
    <w:rsid w:val="00BD75B4"/>
    <w:rsid w:val="00BD7D14"/>
    <w:rsid w:val="00BE02B4"/>
    <w:rsid w:val="00BE5A36"/>
    <w:rsid w:val="00BE631E"/>
    <w:rsid w:val="00BF0CCF"/>
    <w:rsid w:val="00BF0FC5"/>
    <w:rsid w:val="00BF10BC"/>
    <w:rsid w:val="00BF21AC"/>
    <w:rsid w:val="00BF2E53"/>
    <w:rsid w:val="00BF3669"/>
    <w:rsid w:val="00BF3C0D"/>
    <w:rsid w:val="00C011A3"/>
    <w:rsid w:val="00C03309"/>
    <w:rsid w:val="00C072FE"/>
    <w:rsid w:val="00C12E39"/>
    <w:rsid w:val="00C136F1"/>
    <w:rsid w:val="00C14164"/>
    <w:rsid w:val="00C14851"/>
    <w:rsid w:val="00C15D8E"/>
    <w:rsid w:val="00C17012"/>
    <w:rsid w:val="00C178FB"/>
    <w:rsid w:val="00C24707"/>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004"/>
    <w:rsid w:val="00C873AC"/>
    <w:rsid w:val="00C9106A"/>
    <w:rsid w:val="00C933E7"/>
    <w:rsid w:val="00C93462"/>
    <w:rsid w:val="00C94384"/>
    <w:rsid w:val="00C94A34"/>
    <w:rsid w:val="00C94C2B"/>
    <w:rsid w:val="00C96F79"/>
    <w:rsid w:val="00C9782E"/>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6E97"/>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5F6B"/>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A1D43"/>
    <w:rsid w:val="00EA4EC9"/>
    <w:rsid w:val="00EA5E0F"/>
    <w:rsid w:val="00EA6FE4"/>
    <w:rsid w:val="00EA748A"/>
    <w:rsid w:val="00EA7B1F"/>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2A4"/>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96678"/>
    <w:rsid w:val="00FA1D64"/>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8DF"/>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SP-5AIRPNAIUNRU-1830940522-1562</_dlc_DocId>
    <_dlc_DocIdUrl xmlns="71c5aaf6-e6ce-465b-b873-5148d2a4c105">
      <Url>https://nokia.sharepoint.com/sites/c5g/5gradio/_layouts/15/DocIdRedir.aspx?ID=SP-5AIRPNAIUNRU-1830940522-1562</Url>
      <Description>SP-5AIRPNAIUNRU-1830940522-1562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04D2683-3A2F-48A0-96C4-550491BF2CED}"/>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48466B78-8E60-4F1D-A0DE-5A8999B42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2</Pages>
  <Words>921</Words>
  <Characters>5255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5</cp:revision>
  <cp:lastPrinted>2016-09-26T06:54:00Z</cp:lastPrinted>
  <dcterms:created xsi:type="dcterms:W3CDTF">2017-08-10T10:23:00Z</dcterms:created>
  <dcterms:modified xsi:type="dcterms:W3CDTF">2017-08-11T11:41:00Z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5b61fb74-7cd7-4e3a-b346-afdbaedf192c</vt:lpwstr>
  </property>
</Properties>
</file>